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Trafik kazası olay bilgi kayıt formu</w:t>
      </w:r>
    </w:p>
    <w:p>
      <w:r>
        <w:t>Olay yerindeki gözlemleri, fotoğrafları ve tanık bilgilerini düzenleme örneği. Resmî kaza tespit tutanağı veya kusur kararı yerine geçmez.</w:t>
      </w:r>
    </w:p>
    <w:p>
      <w:pPr>
        <w:pStyle w:val="Heading2"/>
      </w:pPr>
      <w:r>
        <w:t>1. Zaman, yer ve taraflar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Olay tarih / saat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Yer / yön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Araç plakaları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Gözlemci / irtibat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[TARİH / SAAT]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[YER]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[PLAKA / PLAKA]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KANAL]</w:t>
            </w:r>
          </w:p>
        </w:tc>
      </w:tr>
    </w:tbl>
    <w:p>
      <w:pPr>
        <w:pStyle w:val="Heading2"/>
      </w:pPr>
      <w:r>
        <w:t>2. Taraflara göre gözlem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Taraf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Gözlenen hareket / konum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Görülen hasar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 / çizim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Araç 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[SOMUT 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HASAR]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Araç B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[SOMUT 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HASAR]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Diğer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[SOMUT 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HASAR]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</w:tr>
    </w:tbl>
    <w:p>
      <w:r>
        <w:t>Fotoğrafların çekim zamanı, yönü ve dosya no: [LİSTE]. Tanık adı ve kendisinin paylaşmayı kabul ettiği irtibat: [KAYIT / YOK]. İlk yardım veya yetkili kurum bildirimi: [YAPILDI / GEREKMEDİ / BELİRSİZ].</w:t>
      </w:r>
    </w:p>
    <w:p>
      <w:r>
        <w:t>Taraf A gözlemi/çekincesi: [YAZI]. Taraf B gözlemi/çekincesi: [YAZI]. Dolduran: [AD / TARİH / İMZA]. Eksik veya itirazlı bilgi açıkça işaretlenir. Kişisel veriler gereksiz biçimde yayılmaz.</w:t>
      </w:r>
    </w:p>
    <w:p>
      <w:r>
        <w:t>SBM yalnız maddi hasarlı kazalarda resmî kaza tespit tutanağının uygulanabileceği koşulları ayrıca açıklar. Bu form ona dönüşmez; yaralanma, anlaşmazlık ve diğer istisnalarda yetkili süreç doğrulanmalıdır.</w:t>
      </w:r>
    </w:p>
    <w:p>
      <w:r>
        <w:t>Kaynak: Sigorta Bilgi ve Gözetim Merkezi KTT Sorgulama ve İtiraz.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