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Personel çıkış demirbaş iade formu</w:t>
      </w:r>
    </w:p>
    <w:p>
      <w:r>
        <w:t>İş ilişkisi sona ererken işverene ait demirbaşların fiilî iadesini tek tek kaydetme örneği. İade dışında kalan alacak ve haklar ayrıca değerlendirilir.</w:t>
      </w:r>
    </w:p>
    <w:p>
      <w:pPr>
        <w:pStyle w:val="Heading2"/>
      </w:pPr>
      <w:r>
        <w:t>1. Çıkış işlemi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İşveren / birim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Çalışan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Son çalışma günü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Fiilî iade tarihi ve yeri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[UNVAN / BİRİM]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SİCİL]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[GG.AA.YYYY]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[GG.AA.YYYY SS:DD / YER]</w:t>
            </w:r>
          </w:p>
        </w:tc>
      </w:tr>
    </w:tbl>
    <w:p>
      <w:pPr>
        <w:pStyle w:val="Heading2"/>
      </w:pPr>
      <w:r>
        <w:t>2. Demirbaş iade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c>
          <w:tcPr>
            <w:tcW w:type="dxa" w:w="2119"/>
          </w:tcPr>
          <w:p>
            <w:r>
              <w:rPr>
                <w:sz w:val="14"/>
              </w:rPr>
              <w:t>No / eşya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Envanter / seri no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Aksesuar ve adet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İade durumu / foto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Teslim alan / çekince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1 [EŞYA]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[GÖZLEM / FOTO 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2 [EŞYA]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[GÖZLEM / FOTO 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3 [EŞYA]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[GÖZLEM / FOTO 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4 [EŞYA]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[GÖZLEM / FOTO 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5 [EŞYA]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[GÖZLEM / FOTO NO]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NOT]</w:t>
            </w:r>
          </w:p>
        </w:tc>
      </w:tr>
    </w:tbl>
    <w:p>
      <w:r>
        <w:t>İade edilmeyen veya sonradan kontrol edilecek kalem: [NO / AÇIKLAMA / KARŞILIKLI ÇEKİNCE]. Teslim kayıtları ve fotoğraflar: [REFERANS].</w:t>
      </w:r>
    </w:p>
    <w:p>
      <w:pPr>
        <w:pStyle w:val="Heading2"/>
      </w:pPr>
      <w:r>
        <w:t>3. Alındı ve sınır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c>
          <w:tcPr>
            <w:tcW w:type="dxa" w:w="3532"/>
          </w:tcPr>
          <w:p>
            <w:r>
              <w:rPr>
                <w:sz w:val="14"/>
              </w:rPr>
              <w:t>İade eden çalışan</w:t>
            </w:r>
          </w:p>
        </w:tc>
        <w:tc>
          <w:tcPr>
            <w:tcW w:type="dxa" w:w="3532"/>
          </w:tcPr>
          <w:p>
            <w:r>
              <w:rPr>
                <w:sz w:val="14"/>
              </w:rPr>
              <w:t>Teslim alan temsilci</w:t>
            </w:r>
          </w:p>
        </w:tc>
        <w:tc>
          <w:tcPr>
            <w:tcW w:type="dxa" w:w="3532"/>
          </w:tcPr>
          <w:p>
            <w:r>
              <w:rPr>
                <w:sz w:val="14"/>
              </w:rPr>
              <w:t>Tanık / ek inceleme</w:t>
            </w:r>
          </w:p>
        </w:tc>
      </w:tr>
      <w:tr>
        <w:tc>
          <w:tcPr>
            <w:tcW w:type="dxa" w:w="3532"/>
          </w:tcPr>
          <w:p>
            <w:r>
              <w:rPr>
                <w:sz w:val="14"/>
              </w:rPr>
              <w:t>[AD / TARİH / İMZA]</w:t>
            </w:r>
          </w:p>
        </w:tc>
        <w:tc>
          <w:tcPr>
            <w:tcW w:type="dxa" w:w="3532"/>
          </w:tcPr>
          <w:p>
            <w:r>
              <w:rPr>
                <w:sz w:val="14"/>
              </w:rPr>
              <w:t>[AD / TARİH / İMZA]</w:t>
            </w:r>
          </w:p>
        </w:tc>
        <w:tc>
          <w:tcPr>
            <w:tcW w:type="dxa" w:w="3532"/>
          </w:tcPr>
          <w:p>
            <w:r>
              <w:rPr>
                <w:sz w:val="14"/>
              </w:rPr>
              <w:t>[AD / TARİH / NOT]</w:t>
            </w:r>
          </w:p>
        </w:tc>
      </w:tr>
    </w:tbl>
    <w:p>
      <w:r>
        <w:t>İş verisinin aktarımı ve erişim yetkilerinin kapatılması ayrı güvenli kayıtlarla yürütülür; parola bu forma yazılmaz. İade imzası ücret, izin, tazminat veya diğer alacaklardan feragat; kayıp eşyanın bedelini otomatik kabul; ya da tüm işyeri hesaplarının kapandığı anlamına gelmez. Somut zarar, kusur ve ödeme ayrı değerlendirilir.</w:t>
      </w:r>
    </w:p>
    <w:p>
      <w:r>
        <w:t>Kaynak: ÇSGB yayımlı 6098 sayılı Türk Borçlar Kanunu m. 396–397, 413.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