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Kiralananda hasar tespit tutanağı</w:t>
      </w:r>
    </w:p>
    <w:p>
      <w:r>
        <w:t>Kiralanandaki gözlenebilir hasarı yer, belirti, fotoğraf ve taraf çekincesiyle kaydetme örneği. Hasarın sebebini veya kimin sorumlu olduğunu tek başına belirlemez.</w:t>
      </w:r>
    </w:p>
    <w:p>
      <w:pPr>
        <w:pStyle w:val="Heading2"/>
      </w:pPr>
      <w:r>
        <w:t>1. Taşınmaz ve kayıt zamanı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Kiralanan adres / bölüm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Kiraya veren / kiracı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Kayıt tarih / saat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Kira sözleşmesi no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[ADRES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 / AD]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SAAT]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TARİH]</w:t>
            </w:r>
          </w:p>
        </w:tc>
      </w:tr>
    </w:tbl>
    <w:p>
      <w:pPr>
        <w:pStyle w:val="Heading2"/>
      </w:pPr>
      <w:r>
        <w:t>2. Hasar bazlı gözlem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Oda / yüzey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Görünür belirti / boyut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Foto / ölçüm no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Önceki durum / çekince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Giriş / koridor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[BELİRTİ / ÖLÇÜ]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[KAYIT / BELİRSİZ]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Salon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[BELİRTİ / ÖLÇÜ]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[KAYIT / BELİRSİZ]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Mutfak / banyo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[BELİRTİ / ÖLÇÜ]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[KAYIT / BELİRSİZ]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Oda / diğer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[BELİRTİ / ÖLÇÜ]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[KAYIT / BELİRSİZ]</w:t>
            </w:r>
          </w:p>
        </w:tc>
      </w:tr>
    </w:tbl>
    <w:p>
      <w:r>
        <w:t>İlk fark edilme tarihi ve haber verme kanalı: [TARİH / KANAL]. Önceki teslim tutanağı ve fotoğraf referansı: [NO / YOK]. Teknik inceleme gerekliyse talep eden ve tarihi: [AD / TARİH].</w:t>
      </w:r>
    </w:p>
    <w:p>
      <w:r>
        <w:t>Kiraya veren gözlemi/çekincesi: [METİN]. Kiracı gözlemi/çekincesi: [METİN]. İmza yoksa [YOK] yazılır. Olağan kullanımdan doğan eskime ile sorumluluk doğurabilecek hasar ayrı değerlendirilir; bu form bedel hesabı veya kesin kusur raporu değildir.</w:t>
      </w:r>
    </w:p>
    <w:p>
      <w:r>
        <w:t>Kiraya veren: [AD / İMZA]   Kiracı: [AD / İMZA / YOK]. Kaynak: Adalet Bakanlığı UYAP, TBK 334–335 kapsamında kiralananın geri verilmesi içtihadı. Kontrol: 05.10.2026.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