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Kiralanan demirbaş envanter listesi</w:t>
      </w:r>
    </w:p>
    <w:p>
      <w:r>
        <w:t>Kira başlangıcı veya iadesinde taşınmazdaki demirbaşları adet, görünür durum ve fotoğrafla eşleştirme örneği. Mülkiyet veya gizli ayıp kararı değildir.</w:t>
      </w:r>
    </w:p>
    <w:p>
      <w:pPr>
        <w:pStyle w:val="Heading2"/>
      </w:pPr>
      <w:r>
        <w:t>1. Taşınmaz ve kayıt zamanı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Kiralanan adres / bölüm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Kiraya veren / kiracı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Kayıt tarih / saat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Kira sözleşmesi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[ADRES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SAAT]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TARİH]</w:t>
            </w:r>
          </w:p>
        </w:tc>
      </w:tr>
    </w:tbl>
    <w:p>
      <w:pPr>
        <w:pStyle w:val="Heading2"/>
      </w:pPr>
      <w:r>
        <w:t>2. Kalem bazlı envanter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Demirbaş / seri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Adet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Durum / işlev testi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 / eksik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Anahtar / kumanda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/ TEST]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Beyaz eşya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/ TEST]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Ocak / fırın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/ TEST]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Klima / kombi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/ TEST]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Dolap / armatür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/ TEST]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Diğer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/ TEST]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</w:tbl>
    <w:p>
      <w:r>
        <w:t>Girişteki liste/fotoğraf seti: [NO / YOK]. Çıkışta karşılaştırma yapılacak tarih: [TARİH]. Test edilmeyen işlevler: [LİSTE]. Sayaç değerleri ayrı teslim tutanağında: [REFERANS].</w:t>
      </w:r>
    </w:p>
    <w:p>
      <w:r>
        <w:t>Kiraya veren: [AD / İMZA]   Kiracı: [AD / İMZA]. Envanter, olağan eskime, ayıp sorumluluğu veya bedel tespiti konusunda tek başına kesin sonuç oluşturmaz.</w:t>
      </w:r>
    </w:p>
    <w:p>
      <w:r>
        <w:t>Kaynak: Adalet Bakanlığı UYAP, TBK 334–335 kapsamında geri verme ve gözden geçirme içtihadı.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