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Kasko hasar dosyası evrak kontrol listesi</w:t>
      </w:r>
    </w:p>
    <w:p>
      <w:r>
        <w:t>Kasko hasar başvurusunda poliçe ve sigortacının somut dosya için istediği evrakları izleme örneği. Her belge her olayda zorunlu değildir.</w:t>
      </w:r>
    </w:p>
    <w:p>
      <w:pPr>
        <w:pStyle w:val="Heading2"/>
      </w:pPr>
      <w:r>
        <w:t>1. Poliçe ve hasar dosyası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Sigortalı / araç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Poliçe ve şirket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Olay / ihbar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Hasar dosya / eksper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PLAKA]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ŞİRKET]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VARSA NO]</w:t>
            </w:r>
          </w:p>
        </w:tc>
      </w:tr>
    </w:tbl>
    <w:p>
      <w:r>
        <w:t>Teminat, muafiyet ve özel şart referansı: [POLİÇE MADDE / GÜNCEL KOPYA]. Şirketin istediği belge listesi ve tarihi: [E-POSTA / PORTAL / YAZI NO].</w:t>
      </w:r>
    </w:p>
    <w:p>
      <w:pPr>
        <w:pStyle w:val="Heading2"/>
      </w:pPr>
      <w:r>
        <w:t>2. Evrak ve alındı takibi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</w:tcPr>
          <w:p>
            <w:r>
              <w:rPr>
                <w:sz w:val="14"/>
              </w:rPr>
              <w:t>Belge adı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Durum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Biçim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Kanal / tarih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Alındı / not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[POLİÇE / OLAY BELGESİ]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[KANAL / 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[KAZA TUTANAĞI / RESMÎ KAYIT]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[KANAL / 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[FOTOĞRAF / GÖRSEL]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[KANAL / 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[SERVİS / ONARIM BELGESİ]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[KANAL / 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[ŞİRKETİN İSTEDİĞİ DİĞER]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[KANAL / 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Eksik belge için sigortacının yazılı bildirimi ve tamamlama tarihi: [BELGE / TARİH / KANAL]. Kopyayı ve alındı kanıtını saklama yeri: [GÜVENLİ REFERANS].</w:t>
      </w:r>
    </w:p>
    <w:p>
      <w:r>
        <w:t>Hazırlayan: [AD / TARİH / İMZA]    Dosya teslim alındısı: [KİŞİ / TARİH / NO].</w:t>
      </w:r>
    </w:p>
    <w:p>
      <w:r>
        <w:t>Bu kontrol listesi tek tip zorunlu evrak, tazminat onayı veya süre garantisi değildir. Güncel poliçe, genel/özel şartlar ve sigortacının somut hasar talebi birlikte kontrol edilir. Gereksiz kişisel/sağlık verisi paylaşmayın.</w:t>
      </w:r>
    </w:p>
    <w:p>
      <w:r>
        <w:t>Kaynak: SEDDK Kara Araçları Kasko Sigortası Genel Şartları; TSB yayımlı metin.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