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İşyerinde Taciz Olayı ve Koruyucu Önlem Talebi</w:t>
      </w:r>
    </w:p>
    <w:p>
      <w:r>
        <w:t>İşverenin yetkili inceleme birimine. Başvuran: [AD]   Güvenli ve gizli yanıt kanalı: [ ]. Olayların tarafsız incelenmesini ve temas/misilleme riskine karşı uygun geçici önlem alınmasını istiyorum.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Tarih / saat / yer</w:t>
            </w:r>
          </w:p>
        </w:tc>
        <w:tc>
          <w:tcPr>
            <w:tcW w:type="dxa" w:w="2550"/>
          </w:tcPr>
          <w:p>
            <w:r>
              <w:t>Somut söz veya davranış</w:t>
            </w:r>
          </w:p>
        </w:tc>
        <w:tc>
          <w:tcPr>
            <w:tcW w:type="dxa" w:w="2550"/>
          </w:tcPr>
          <w:p>
            <w:r>
              <w:t>Tanık / kanıt no</w:t>
            </w:r>
          </w:p>
        </w:tc>
        <w:tc>
          <w:tcPr>
            <w:tcW w:type="dxa" w:w="2550"/>
          </w:tcPr>
          <w:p>
            <w:r>
              <w:t>Acil risk / talep edilen önlem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[RİSK/ÖNLEM]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[RİSK/ÖNLEM]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[RİSK/ÖNLEM]</w:t>
            </w:r>
          </w:p>
        </w:tc>
      </w:tr>
    </w:tbl>
    <w:p>
      <w:r>
        <w:t>Güvenli iletişim kişisi ve geçici koruma talebi: [ ]. Ekler: [ASGARİ GEREKLİ BELGE]. Başvuran imzası/tarih: [ ]. Acil tehditte işyeri incelemesini beklemeden uygun acil/kolluk/sağlık kanalını kullanın. Bu iç bildirim adli şikâyet veya suçun sabit olduğu kararı değildir.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