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İkinci el mobilya ölçü ve durum tespit formu</w:t>
      </w:r>
    </w:p>
    <w:p>
      <w:r>
        <w:t>Her parçanın gerçek ölçüsünü, görünür durumunu ve taşıma öncesi fotoğrafını ayrı kaydetme örneği. Ölçüm toleransı ve yöntemini açık yazın.</w:t>
      </w:r>
    </w:p>
    <w:p>
      <w:pPr>
        <w:pStyle w:val="Heading2"/>
      </w:pPr>
      <w:r>
        <w:t>1. Ürün ve ölçüm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Satıcı / alıcı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Ürün / parça sayısı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Ölçüm tarihi / araç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yeri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[ÜRÜN / ADET]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METRE]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[YER]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Parça / yüzey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En × boy × yükseklik (cm)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Durum / hasar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ölçüm notu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 gövde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× ÖLÇÜ ×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Kapak / çekmece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× ÖLÇÜ ×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Raf / ayak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× ÖLÇÜ ×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Diğer parça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[ÖLÇÜ × ÖLÇÜ × ÖLÇÜ]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[GÖRÜNÜR DURUM]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Kapı/merdiven/asansör geçiş ölçüsü: [BİLGİ / ÖLÇÜLMEDİ]. Sökülebilen parçalar ve eksik bağlantılar: [LİSTE]. Ölçüm yöntemi ve olası sapma: [YÖNTEM / CM]. Teslim sonrası yeniden karşılaştırılacak fotoğraf no: [NO].</w:t>
      </w:r>
    </w:p>
    <w:p>
      <w:r>
        <w:t>Satıcı: [AD / TARİH / İMZA]    Alıcı: [AD / TARİH / İMZA]. Görünür durum kaydı gizli kusurların yokluğunu garanti etmez. İşletmeden tüketiciye satışta ayıplı mal hükümleri ayrıca değerlendirilir.</w:t>
      </w:r>
    </w:p>
    <w:p>
      <w:r>
        <w:t>Kaynak: Ticaret Bakanlığı ayıplı mal ve hizmetler rehberi.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