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İkinci el eşya ayıp tespit tutanağı</w:t>
      </w:r>
    </w:p>
    <w:p>
      <w:r>
        <w:t>Üründeki görünür veya sonradan fark edilen sorunu tarih, gözlem ve kanıtla kaydetme örneği. Ayıbın hukuki niteliğini veya satıcının sorumluluğunu tek başına belirlemez.</w:t>
      </w:r>
    </w:p>
    <w:p>
      <w:pPr>
        <w:pStyle w:val="Heading2"/>
      </w:pPr>
      <w:r>
        <w:t>1. Satış ve ürün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Satıcı türü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Ürün / model / seri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Satış ve teslim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Bedel / belge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[İŞLETME / KİŞİ]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[ÜRÜN]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 / 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KAYIT]</w:t>
            </w:r>
          </w:p>
        </w:tc>
      </w:tr>
    </w:tbl>
    <w:p>
      <w:pPr>
        <w:pStyle w:val="Heading2"/>
      </w:pPr>
      <w:r>
        <w:t>2. Somut gözlem ve bildirim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Parça / konum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Görünür belirti / test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Fark edilme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 / yazışma no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[KONUM]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YÖNTEM]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[KONUM]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YÖNTEM]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[KONUM]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YÖNTEM]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[KONUM]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[BELİRTİ / YÖNTEM]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[NO]</w:t>
            </w:r>
          </w:p>
        </w:tc>
      </w:tr>
    </w:tbl>
    <w:p>
      <w:r>
        <w:t>Satış öncesi bildirilen kusur: [YAZIŞMA / BELGE]. Teslimde yapılan test: [SONUÇ / TEST EDİLMEDİ]. Satıcıya bildirim kanalı ve tarihi: [KANAL / TARİH]. Satıcı yanıtı: [AYNEN / YANIT YOK]. Talep: [GÖRÜŞME / İNCELEME / DİĞER].</w:t>
      </w:r>
    </w:p>
    <w:p>
      <w:r>
        <w:t>Düzenleyen: [AD / TARİH / İMZA]. Karşı tarafın imzası yoksa bu durum ayrıca belirtilir: [VAR / YOK]. Bu kayıt, haklardan feragat veya kusursuzluk kabulü değildir. İşletmeden tüketiciye satış ile kişiler arası satış farklı kurallara tabi olabilir.</w:t>
      </w:r>
    </w:p>
    <w:p>
      <w:r>
        <w:t>Kaynak: Ticaret Bakanlığı ayıplı mal ve hizmetler rehberi. Kontrol: 04.10.2026.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