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Hasarlı kargo teslim tespit tutanağı</w:t>
      </w:r>
    </w:p>
    <w:p>
      <w:r>
        <w:t>Kargonun dış paketi, iç ürün ve aksesuarlarını teslim anında gözlenebildiği ölçüde ayrı kaydetme örneği. Taşıyıcının resmî hasar işlemi ayrıca yapılır.</w:t>
      </w:r>
    </w:p>
    <w:p>
      <w:pPr>
        <w:pStyle w:val="Heading2"/>
      </w:pPr>
      <w:r>
        <w:t>1. Gönderi ve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Taşıyıcı / takip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Gönderen / alıcı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Ürün / sipariş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tarih / saat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[ŞİRKET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[ÜRÜN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</w:tr>
    </w:tbl>
    <w:p>
      <w:pPr>
        <w:pStyle w:val="Heading2"/>
      </w:pPr>
      <w:r>
        <w:t>2. Görünür hasar ve kanıt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Kalem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Görülen durum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 / video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Taşıyıcı görüşü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Dış kutu / bant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[SOMUT 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[METİN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İç dolgu / koruma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[SOMUT 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[METİN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Ürünün görünür yüzeyi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[SOMUT 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[METİN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Aksesuar / adet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[SOMUT 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[METİN /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Etiket / ağırlık / diğer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[SOMUT 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[METİN / YOK]</w:t>
            </w:r>
          </w:p>
        </w:tc>
      </w:tr>
    </w:tbl>
    <w:p>
      <w:r>
        <w:t>Paketin açılış yeri ve tanık: [YER / AD / YOK]. Taşıyıcının düzenlediği resmî hasar kaydı: [NO / DÜZENLENMEDİ]. Satıcıya veya platforma bildirim kanalı ve alındı: [KANAL / TARİH / NO].</w:t>
      </w:r>
    </w:p>
    <w:p>
      <w:r>
        <w:t>Alıcı: [AD / TARİH / İMZA]   Teslim görevlisi: [AD / TARİH / İMZA / YOK]. Bu tutanak hasarın kaynağına, kusura veya iadeye ilişkin kesin karar değildir. Mesafeli tüketici satışı ile kişiler arası gönderim aynı kurala tabi sayılmaz.</w:t>
      </w:r>
    </w:p>
    <w:p>
      <w:r>
        <w:t>Kaynak: Ticaret Bakanlığı mesafeli sözleşmeler rehberi ve Yönetmelik.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