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Emanet eşya teslim ve geri alma tutanağı</w:t>
      </w:r>
    </w:p>
    <w:p>
      <w:r>
        <w:t>Bir taşınırın emanete bırakılması ve geri alınmasını iki farklı tarih ve durum kaydıyla izleme örneği. Somut saklama ilişkisinin koşulları ayrıca değerlendirilir.</w:t>
      </w:r>
    </w:p>
    <w:p>
      <w:pPr>
        <w:pStyle w:val="Heading2"/>
      </w:pPr>
      <w:r>
        <w:t>1. Taraflar ve eşya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Teslim eden / alan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Eşya / seri / ayırt edici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Saklama yeri / erişim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Kayıt numarası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[TANIM / SERİ]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[YER / YETKİ]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</w:tbl>
    <w:p>
      <w:pPr>
        <w:pStyle w:val="Heading2"/>
      </w:pPr>
      <w:r>
        <w:t>2. İki aşamalı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Aşama / tarih 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Eşya / aksesuar / adet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Görünür durum / foto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alan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İlk teslim: 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[LİSTE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Geri alma: [TARİH / SAAT]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[LİSTE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[DURUM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NOT]</w:t>
            </w:r>
          </w:p>
        </w:tc>
      </w:tr>
    </w:tbl>
    <w:p>
      <w:r>
        <w:t>Emanetin alınma nedeni ve kararlaştırılan geri verme şekli: [AÇIKLAMA]. Saklama sırasında yapılan işlem veya erişim: [KAYIT / YOK]. İade sırasında eksik veya hasar iddiası: [SOMUT / YOK].</w:t>
      </w:r>
    </w:p>
    <w:p>
      <w:r>
        <w:t>İlk teslim veren/alan: [AD / İMZA] / [AD / İMZA]. Geri alma veren/alan: [AD / İMZA] / [AD / İMZA]. Kayıt yalnız görülen teslimi gösterir; mülkiyet, kusur ve tazminat hakkında kesin karar değildir.</w:t>
      </w:r>
    </w:p>
    <w:p>
      <w:r>
        <w:t>Kaynak: TBMM 6098 sayılı Türk Borçlar Kanunu m.561 ve m.564; saklama sözleşmesinin uygulanıp uygulanmadığı somut ilişkiye bağlıdır.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