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Depozito teslim ve iade tutanağı</w:t>
      </w:r>
    </w:p>
    <w:p>
      <w:r>
        <w:t>Kira güvencesinin fiilen ne zaman, hangi kanalla yatırıldığını ve iadesinde hangi kalemin nasıl hesaplandığını ayrı kaydetme örneği. Konut ve çatılı işyeri kiralarında TBK 342 banka usulü ayrıca kontrol edilir.</w:t>
      </w:r>
    </w:p>
    <w:p>
      <w:pPr>
        <w:pStyle w:val="Heading2"/>
      </w:pPr>
      <w:r>
        <w:t>1. Kira ve güvence kaydı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Kiralanan / sözleşme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Kiraya veren / kiracı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Başlangıç güvence tutarı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Banka / hesap referansı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[ADRES / TARİH]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PARA BİRİMİ]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[BANKA / NO]</w:t>
            </w:r>
          </w:p>
        </w:tc>
      </w:tr>
    </w:tbl>
    <w:p>
      <w:pPr>
        <w:pStyle w:val="Heading2"/>
      </w:pPr>
      <w:r>
        <w:t>2. Teslim ve iade kanıtı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İşlem / kalem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Tutar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Tarih / kanal / dekont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Taraf görüşü / çekince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Güvencenin yatırılması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[TEYİT / İTİRAZ]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Faiz / getiri bilgisi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[TEYİT / İTİRAZ]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Talep edilen kesinti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[TEYİT / İTİRAZ]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İade edilen tutar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[TEYİT / İTİRAZ]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Açık kalan/itirazlı tutar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[TEYİT / İTİRAZ]</w:t>
            </w:r>
          </w:p>
        </w:tc>
      </w:tr>
    </w:tbl>
    <w:p>
      <w:r>
        <w:t>Kiralananın fiilî iade ve anahtar alındı tarihi: [TARİH / NO]. Kesintiye dayanak hasar/borç kalemi ve belge: [LİSTE / YOK]. Bankanın iade veya serbest bırakma işlemi: [YAZILI YANIT / BEKLEMEDE].</w:t>
      </w:r>
    </w:p>
    <w:p>
      <w:r>
        <w:t>Kesinti talebi otomatik haklı sayılmaz; olağan eskime, kiraya verenin bildirim yükümlülüğü ve banka usulü ayrıca incelenir. Bu tutanak kanuni güvence sınırını, banka koşullarını veya dava haklarını değiştirmez.</w:t>
      </w:r>
    </w:p>
    <w:p>
      <w:r>
        <w:t>Kiraya veren: [AD / TARİH / İMZA]   Kiracı: [AD / TARİH / İMZA]. Kaynak: Adalet Bakanlığı UYAP, TBK 342 güvence içtihadı.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