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Depozito kesinti kalemleri açıklama formu</w:t>
      </w:r>
    </w:p>
    <w:p>
      <w:r>
        <w:t>Kira güvencesinden istenen her kesinti kalemini kanıtı, tutarı ve karşı tarafın çekincesiyle karşılaştırma örneği. Hesap otomatik onay veya ibra değildir.</w:t>
      </w:r>
    </w:p>
    <w:p>
      <w:pPr>
        <w:pStyle w:val="Heading2"/>
      </w:pPr>
      <w:r>
        <w:t>1. Güvence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Sözleşme / adres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Güvence tutarı / kanalı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Fiilî iade / anahtar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Taraflar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[NO / ADRES]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BANKA]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</w:tr>
    </w:tbl>
    <w:p>
      <w:pPr>
        <w:pStyle w:val="Heading2"/>
      </w:pPr>
      <w:r>
        <w:t>2. Kalemli hesap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İddia edilen kesinti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Dayanak / foto / fatura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Talep tutarı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Kiracı görüşü / itiraz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Görünür hasar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[BELGE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İTİRAZ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Eksik demirbaş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[BELGE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İTİRAZ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Ödenmemiş kira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[BELGE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İTİRAZ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Yan gider / fatura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[BELGE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İTİRAZ / BELİRSİZ]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Diğer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[BELGE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[KABUL / İTİRAZ / BELİRSİZ]</w:t>
            </w:r>
          </w:p>
        </w:tc>
      </w:tr>
    </w:tbl>
    <w:p>
      <w:r>
        <w:t>Başlangıç güvence: [TUTAR]. Banka getiri bilgisi: [TUTAR / BİLİNMİYOR]. Kesinti iddiası toplamı: [TUTAR]. İade edilen: [TUTAR / TARİH / DEKONT]. Açık/itirazlı bakiye: [TUTAR]. Hesap kalemleri çifte sayılmadı mı: [KONTROL].</w:t>
      </w:r>
    </w:p>
    <w:p>
      <w:r>
        <w:t>Kiraya verenin açıklaması: [METİN]. Kiracının çekincesi: [METİN]. Kiralananın olağan eskimesi ve TBK 335 bildirimi ayrıca incelenir; tek taraflı kesinti iddiası kesin borç veya serbest bırakma emri değildir.</w:t>
      </w:r>
    </w:p>
    <w:p>
      <w:r>
        <w:t>Kiraya veren: [AD / İMZA]   Kiracı: [AD / İMZA / YOK]. Kaynak: Adalet Bakanlığı UYAP TBK 342 güvence ve TBK 334–335 geri verme kararları.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