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Bulunan eşya teslim tutanağı</w:t>
      </w:r>
    </w:p>
    <w:p>
      <w:r>
        <w:t>Bulma, yetkili yere teslim ve hak sahibine iade aşamalarını karıştırmadan kayıt altına alma örneği. Bulunan eşyayı kendiliğinden sahiplenme belgesi değildir.</w:t>
      </w:r>
    </w:p>
    <w:p>
      <w:pPr>
        <w:pStyle w:val="Heading2"/>
      </w:pPr>
      <w:r>
        <w:t>1. Bulma olayı ve eşya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Bulma tarih / yer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Bulan kişi / güvenli irtibat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Eşya / ayırt edici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Görünür durum / foto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[TARİH / YER]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KANAL]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[TANIM]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NO]</w:t>
            </w:r>
          </w:p>
        </w:tc>
      </w:tr>
    </w:tbl>
    <w:p>
      <w:pPr>
        <w:pStyle w:val="Heading2"/>
      </w:pPr>
      <w:r>
        <w:t>2. Aşamalı teslim ve alındı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Aşama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Tarih / 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edilen kişi / kurum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Alındı / kimlik kontrol notu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Bulma ve bildirme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[SAHİP / KOLLUK / YER YETKİLİSİ]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Kurumda saklama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[BİRİM]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[KAYIT 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Hak sahibine iade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 / HENÜZ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[YETKİLİ / HAK SAHİBİ]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[ALINDI / YOK]</w:t>
            </w:r>
          </w:p>
        </w:tc>
      </w:tr>
    </w:tbl>
    <w:p>
      <w:r>
        <w:t>İçeriği açılmadan listelenen parça/adet: [LİSTE]. Kişisel veri veya belge görüntüsü gereksiz kopyalanmadı mı: [EVET / HAYIR]. Eşyanın sahibi bilinmiyorsa yetkili bildirim ve teslim kanalı: [KOLLUK / MUHTAR / YER YETKİLİSİ / NO].</w:t>
      </w:r>
    </w:p>
    <w:p>
      <w:r>
        <w:t>Teslim eden: [AD / TARİH / İMZA]. Teslim alan görevli: [AD / TARİH / İMZA]. Hak sahibine iade için ayrı kimlik/yetki kontrolü ve imzalı alındı gerekir. Bu form yetkili makamın resmî tutanağını ikame etmez.</w:t>
      </w:r>
    </w:p>
    <w:p>
      <w:r>
        <w:t>Kaynak: TBMM 4721 sayılı Türk Medenî Kanunu m.769–771 (kabul edilmiş metin; güncel değişiklikleri ayrıca doğrulayın).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