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Araç satış bedeli ödeme mutabakatı</w:t>
      </w:r>
    </w:p>
    <w:p>
      <w:r>
        <w:t>İkinci el araç satışında konuşulan bedel kalemlerini ve Güvenli Ödeme Sistemi referansını kayıt altına alma örneği. Noter satış işleminin veya sistem teyidinin yerini almaz.</w:t>
      </w:r>
    </w:p>
    <w:p>
      <w:pPr>
        <w:pStyle w:val="Heading2"/>
      </w:pPr>
      <w:r>
        <w:t>1. Taraflar ve araç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Satıcı / alıcı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Plaka / şasi son 6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Noter işlem tarihi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Satış bedeli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[PLAKA / 6 HANE]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BELİRSİZ]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</w:tr>
    </w:tbl>
    <w:p>
      <w:pPr>
        <w:pStyle w:val="Heading2"/>
      </w:pPr>
      <w:r>
        <w:t>2. Bedel kalemleri ve teyit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Kalem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Tutar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Tarih / kanal / referans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Tarafların teyidi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Ön ödeme / kapora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KAYIT]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[TEYİT / ÇEKİNCE]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Kalan satış bedeli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KAYIT]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[TEYİT / ÇEKİNCE]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Krediyle karşılanan kısım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KAYIT]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[TEYİT / ÇEKİNCE]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Diğer mahsup / iade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KAYIT]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[TEYİT / ÇEKİNCE]</w:t>
            </w:r>
          </w:p>
        </w:tc>
      </w:tr>
    </w:tbl>
    <w:p>
      <w:r>
        <w:t>Güvenli Ödeme Sistemi işlemi ve referansı: [KURULUŞ / NO / TARİH]. Sisteme yatırılan tutar: [TUTAR]. Noter satışının gerçekleşme durumu: [GERÇEKLEŞTİ / GERÇEKLEŞMEDİ]. Bedelin satıcı hesabına geçiş teyidi: [BANKA KAYDI / BEKLEMEDE].</w:t>
      </w:r>
    </w:p>
    <w:p>
      <w:r>
        <w:t>Ön ödemenin satış gerçekleşmezse durumu: [AYRI YAZILI KOŞUL]. Bu form Güvenli Ödeme Sistemi dışında ödeme yapılmasına onay veya kanuni zorunluluktan feragat anlamına gelmez. Kredi tutarı ve diğer ödeme kolları güncel kurala göre ayrıca kontrol edilir.</w:t>
      </w:r>
    </w:p>
    <w:p>
      <w:r>
        <w:t>Satıcı: [AD / TARİH / İMZA]   Alıcı: [AD / TARİH / İMZA]. Ekler: [NOTER KAYDI / ÖDEME DEKONTU / SİSTEM REFERANSI].</w:t>
      </w:r>
    </w:p>
    <w:p>
      <w:r>
        <w:t>Kaynak: Ticaret Bakanlığı Motorlu Kara Taşıtlarının Ticareti Hakkında Yönetmelik m.26 ve Güvenli Ödeme açıklaması.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