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Araç devir teslim tutanağı</w:t>
      </w:r>
    </w:p>
    <w:p>
      <w:r>
        <w:t>Noter satışından sonra aracın fiilî teslim anındaki gözlenebilir durumu ve aksesuarlarını karşılaştırma örneği. Tescil veya mülkiyet devri belgesi değildir.</w:t>
      </w:r>
    </w:p>
    <w:p>
      <w:pPr>
        <w:pStyle w:val="Heading2"/>
      </w:pPr>
      <w:r>
        <w:t>1. Araç ve teslim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Satıcı / alıcı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Plaka / şasi son 6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Noter satış referansı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Fiilî teslim yer / saat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[PLAKA / 6 HANE]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[YER / SAAT]</w:t>
            </w:r>
          </w:p>
        </w:tc>
      </w:tr>
    </w:tbl>
    <w:p>
      <w:pPr>
        <w:pStyle w:val="Heading2"/>
      </w:pPr>
      <w:r>
        <w:t>2. Durum ve envanter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Kalem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Görülen durum / adet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Fotoğraf / belge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Alıcı çekincesi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Kilometre / gösterge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[DEĞER / 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Yakıt / şarj seviyesi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[DEĞER / 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Anahtar / kumanda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[DEĞER / 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Ruhsat / bakım belgeleri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[DEĞER / 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Dış gövde / cam / lastik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[DEĞER / 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İç döşeme / donanım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[DEĞER / 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[NOT / YOK]</w:t>
            </w:r>
          </w:p>
        </w:tc>
      </w:tr>
    </w:tbl>
    <w:p>
      <w:r>
        <w:t>Bilinen arıza ve daha önce paylaşılan ekspertiz referansı: [KAYIT / YOK]. Teslimde test edilmeyen bölüm: [LİSTE]. Araç içindeki kişisel eşya ve hesaplar: [ÇIKARILDI / ÇEKİNCE].</w:t>
      </w:r>
    </w:p>
    <w:p>
      <w:r>
        <w:t>Satıcı: [AD / TARİH / İMZA]   Alıcı: [AD / TARİH / İMZA]. Sadece fiilî teslimi kaydeder; noter satışını, zorunlu ödeme sistemini veya gizli kusur incelemesini ikame etmez.</w:t>
      </w:r>
    </w:p>
    <w:p>
      <w:r>
        <w:t>Kaynak: Ticaret Bakanlığı motorlu kara taşıtı ticareti ve Güvenli Ödeme açıklaması.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