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Kiracı Tahliye Taahhütnamesi Kontrol Taslağı</w:t>
      </w:r>
    </w:p>
    <w:p>
      <w:r>
        <w:t>Kiraya veren: [AD SOYAD / UNVAN]    Kiracı: [AD SOYAD / UNVAN]</w:t>
      </w:r>
    </w:p>
    <w:p>
      <w:r>
        <w:t>Kiralanan konut / işyeri adresi: [AÇIK ADRES]</w:t>
      </w:r>
    </w:p>
    <w:p>
      <w:r>
        <w:t>Kira sözleşmesi tarihi: [GG/AA/YYYY]    Kiralananın fiili teslim tarihi: [GG/AA/YYYY]</w:t>
      </w:r>
    </w:p>
    <w:p>
      <w:r>
        <w:t>Bu belge, kiralananın fiilen tesliminden sonra kiracının serbest iradesiyle düzenlenebilecek yazılı tahliye taahhüdü örneğidir. Düzenleme ve tahliye tarihleri gerçek, açık ve boş bırakılmamış olmalıdır.</w:t>
      </w:r>
    </w:p>
    <w:p>
      <w:r>
        <w:t>Kiracı, yukarıda adresi yazılı kiralananı [AÇIK VE KESİN TAHLİYE TARİHİ] tarihinde boşaltıp anahtarlarını teslim edeceğini beyan eder. Bu alan boş bırakılmaz; tarih sonradan tek taraflı doldurulmaz.</w:t>
      </w:r>
    </w:p>
    <w:p>
      <w:r>
        <w:t>Düzenleme tarihi: [GG/AA/YYYY]    Kiracının adı soyadı ve imzası: [BİLGİLER]</w:t>
      </w:r>
    </w:p>
    <w:p>
      <w:pPr>
        <w:spacing w:before="220"/>
      </w:pPr>
      <w:r>
        <w:t>Kullanım notu: Türk Borçlar Kanunu madde 352, yazılı taahhüdün kiralanan teslim edildikten sonra verilmesini düzenler. Kiracı sayısı, temsil yetkisi, teslim ve düzenleme tarihleri kontrol edilmelidir. Kiracı belirtilen tarihte çıkmazsa kiraya verenin bir ay içinde icra veya dava yoluna başvuru koşulu vardır. Boş tarihli belge imzalamayın.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Kiracı Tahliye Taahhütnamesi Kontrol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