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Karşılıklı Gizlilik Sözleşmesi Taslağı</w:t>
      </w:r>
    </w:p>
    <w:p>
      <w:r>
        <w:t>Sözleşme tarihi: [GG/AA/YYYY]    Görüşme / proje konusu: [KONU]</w:t>
      </w:r>
    </w:p>
    <w:p>
      <w:pPr>
        <w:pStyle w:val="Heading2"/>
        <w:spacing w:before="140"/>
      </w:pPr>
      <w:r>
        <w:rPr>
          <w:rFonts w:ascii="Aptos" w:hAnsi="Aptos"/>
          <w:color w:val="000000"/>
          <w:sz w:val="21"/>
        </w:rPr>
        <w:t>1 Taraflar</w:t>
      </w:r>
    </w:p>
    <w:p>
      <w:r>
        <w:t>Taraf A: [AD / UNVAN, ADRES]. Taraf B: [AD / UNVAN, ADRES]. Her iki taraf da bilgi açıklayan ve alan olabilir.</w:t>
      </w:r>
    </w:p>
    <w:p>
      <w:pPr>
        <w:pStyle w:val="Heading2"/>
        <w:spacing w:before="140"/>
      </w:pPr>
      <w:r>
        <w:rPr>
          <w:rFonts w:ascii="Aptos" w:hAnsi="Aptos"/>
          <w:color w:val="000000"/>
          <w:sz w:val="21"/>
        </w:rPr>
        <w:t>2 Gizli bilginin kapsamı</w:t>
      </w:r>
    </w:p>
    <w:p>
      <w:r>
        <w:t>Proje amacıyla yazılı, sözlü veya dijital paylaşılan; gizli olduğu belirtilen ya da niteliği gereği gizli olduğu makul biçimde anlaşılan teknik, ticari ve operasyonel bilgiler gizli bilgi sayılır. Paylaşım ve varsa belge referansları kaydedilir.</w:t>
      </w:r>
    </w:p>
    <w:p>
      <w:pPr>
        <w:pStyle w:val="Heading2"/>
        <w:spacing w:before="140"/>
      </w:pPr>
      <w:r>
        <w:rPr>
          <w:rFonts w:ascii="Aptos" w:hAnsi="Aptos"/>
          <w:color w:val="000000"/>
          <w:sz w:val="21"/>
        </w:rPr>
        <w:t>3 Kullanım amacı ve erişim</w:t>
      </w:r>
    </w:p>
    <w:p>
      <w:r>
        <w:t>Bilgi yalnızca [BELİRLİ PROJE / GÖRÜŞME] için kullanılır. Taraflar, bilgiyi bilmesi gereken çalışan ve danışmanlarıyla, gerekli gizlilik yükümlülüklerini sağlayarak paylaşır; üçüncü kişilere izinsiz açıklamaz.</w:t>
      </w:r>
    </w:p>
    <w:p>
      <w:pPr>
        <w:pStyle w:val="Heading2"/>
        <w:spacing w:before="140"/>
      </w:pPr>
      <w:r>
        <w:rPr>
          <w:rFonts w:ascii="Aptos" w:hAnsi="Aptos"/>
          <w:color w:val="000000"/>
          <w:sz w:val="21"/>
        </w:rPr>
        <w:t>4 İstisnalar</w:t>
      </w:r>
    </w:p>
    <w:p>
      <w:r>
        <w:t>Alanın ihlali olmadan kamuya açık hâle gelen, açıklanmadan önce hukuka uygun şekilde bilinen, üçüncü kişiden hukuka uygun edinilen veya bağımsız geliştirilen bilgiler kapsam dışıdır. Zorunlu yasal açıklamada mümkünse diğer tarafa önceden haber verilir.</w:t>
      </w:r>
    </w:p>
    <w:p>
      <w:pPr>
        <w:pStyle w:val="Heading2"/>
        <w:spacing w:before="140"/>
      </w:pPr>
      <w:r>
        <w:rPr>
          <w:rFonts w:ascii="Aptos" w:hAnsi="Aptos"/>
          <w:color w:val="000000"/>
          <w:sz w:val="21"/>
        </w:rPr>
        <w:t>5 Güvenlik ve olay bildirimi</w:t>
      </w:r>
    </w:p>
    <w:p>
      <w:r>
        <w:t>Taraflar makul teknik ve idari güvenlik önlemlerini uygular. Yetkisiz erişim veya açıklama öğrenilirse diğer tarafa gecikmeksizin bilgi verilir; etkileri azaltmak için işbirliği yapılır.</w:t>
      </w:r>
    </w:p>
    <w:p>
      <w:pPr>
        <w:pStyle w:val="Heading2"/>
        <w:spacing w:before="140"/>
      </w:pPr>
      <w:r>
        <w:rPr>
          <w:rFonts w:ascii="Aptos" w:hAnsi="Aptos"/>
          <w:color w:val="000000"/>
          <w:sz w:val="21"/>
        </w:rPr>
        <w:t>6 Süre ve iade</w:t>
      </w:r>
    </w:p>
    <w:p>
      <w:r>
        <w:t>Bilgi paylaşımı dönemi [BAŞLANGIÇ / BİTİŞ], gizlilik yükümlülüğünün sona erme tarihi veya süresi [SOMUT SÜRE] olarak kararlaştırılır. İade / silme talebi, yasal saklama zorunlulukları ve yedeklerin yönetimi [AÇIKLAMA] ile belirlenir.</w:t>
      </w:r>
    </w:p>
    <w:p>
      <w:pPr>
        <w:pStyle w:val="Heading2"/>
        <w:spacing w:before="140"/>
      </w:pPr>
      <w:r>
        <w:rPr>
          <w:rFonts w:ascii="Aptos" w:hAnsi="Aptos"/>
          <w:color w:val="000000"/>
          <w:sz w:val="21"/>
        </w:rPr>
        <w:t>7 Hakların korunması</w:t>
      </w:r>
    </w:p>
    <w:p>
      <w:r>
        <w:t>Bu anlaşma, açıkça yazılmadıkça fikri mülkiyet devri, lisans, iş yapma zorunluluğu veya münhasırlık oluşturmaz. İhlal hâlinde uygulanacak haklar ve varsa tazminat, somut hukuki koşullara göre değerlendirilir.</w:t>
      </w:r>
    </w:p>
    <w:p>
      <w:pPr>
        <w:pStyle w:val="Heading2"/>
        <w:spacing w:before="140"/>
      </w:pPr>
      <w:r>
        <w:rPr>
          <w:rFonts w:ascii="Aptos" w:hAnsi="Aptos"/>
          <w:color w:val="000000"/>
          <w:sz w:val="21"/>
        </w:rPr>
        <w:t>8 Kişisel veriler ve uyuşmazlık</w:t>
      </w:r>
    </w:p>
    <w:p>
      <w:r>
        <w:t>Kişisel veri paylaşımı varsa veri sorumlusu / veri işleyen rolleri, işleme amacı, aktarım ve güvenlik yükümlülükleri ayrı düzenlenir. Bu metin tek başına kişisel veri işleme sözleşmesi değildir. Uyuşmazlık hükümleri emredici kurallara uygun belirlenir.</w:t>
      </w:r>
    </w:p>
    <w:tbl>
      <w:tblPr>
        <w:tblStyle w:val="TableGrid"/>
        <w:tblW w:type="auto" w:w="0"/>
        <w:jc w:val="center"/>
        <w:tblLayout w:type="autofit"/>
        <w:tblLook w:firstColumn="1" w:firstRow="1" w:lastColumn="0" w:lastRow="0" w:noHBand="0" w:noVBand="1" w:val="04A0"/>
      </w:tblPr>
      <w:tblGrid>
        <w:gridCol w:w="4759"/>
        <w:gridCol w:w="4759"/>
      </w:tblGrid>
      <w:tr>
        <w:tc>
          <w:tcPr>
            <w:tcW w:type="dxa" w:w="4759"/>
          </w:tcPr>
          <w:p>
            <w:r>
              <w:rPr>
                <w:b/>
                <w:sz w:val="17"/>
              </w:rPr>
              <w:t>Taraf A</w:t>
            </w:r>
          </w:p>
        </w:tc>
        <w:tc>
          <w:tcPr>
            <w:tcW w:type="dxa" w:w="4759"/>
          </w:tcPr>
          <w:p>
            <w:r>
              <w:rPr>
                <w:b/>
                <w:sz w:val="17"/>
              </w:rPr>
              <w:t>Taraf B</w:t>
            </w:r>
          </w:p>
        </w:tc>
      </w:tr>
      <w:tr>
        <w:tc>
          <w:tcPr>
            <w:tcW w:type="dxa" w:w="4759"/>
          </w:tcPr>
          <w:p>
            <w:r>
              <w:rPr>
                <w:sz w:val="17"/>
              </w:rPr>
              <w:t>[AD / TARİH / İMZA]</w:t>
            </w:r>
          </w:p>
        </w:tc>
        <w:tc>
          <w:tcPr>
            <w:tcW w:type="dxa" w:w="4759"/>
          </w:tcPr>
          <w:p>
            <w:r>
              <w:rPr>
                <w:sz w:val="17"/>
              </w:rPr>
              <w:t>[AD / TARİH / İMZA]</w:t>
            </w:r>
          </w:p>
        </w:tc>
      </w:tr>
    </w:tbl>
    <w:p>
      <w:pPr>
        <w:spacing w:before="200"/>
      </w:pPr>
      <w:r>
        <w:t>Kullanım notu: Gizli bilginin kapsamı, kullanım amacı, paylaşılacak kişiler ve yükümlülük süresi boş bırakılmamalıdır. Bu örnek tek başına rekabet yasağı, işçi gizlilik taahhüdü veya KVKK veri işleme sözleşmesi değildir. Kişisel veri aktarımı varsa ayrıca yasal dayanak, roller ve güvenlik koşullarını belirleyin.</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Karşılıklı Gizlilik Sözleşmesi Taslağı</dc:title>
  <dc:subject/>
  <dc:creator>Sözleşme İndir</dc:creator>
  <cp:keywords/>
  <dc:description>generated by python-docx</dc:description>
  <cp:lastModifiedBy/>
  <cp:revision>1</cp:revision>
  <dcterms:created xsi:type="dcterms:W3CDTF">2013-12-23T23:15:00Z</dcterms:created>
  <dcterms:modified xsi:type="dcterms:W3CDTF">2013-12-23T23:15:00Z</dcterms:modified>
  <cp:category/>
</cp:coreProperties>
</file>