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Belirli Çıktıya Yönelik Hizmet Sözleşmesi Taslağı</w:t>
      </w:r>
    </w:p>
    <w:p>
      <w:r>
        <w:t>Sözleşme tarihi: [GG/AA/YYYY]</w:t>
      </w:r>
    </w:p>
    <w:p>
      <w:pPr>
        <w:pStyle w:val="Heading2"/>
        <w:spacing w:before="140"/>
      </w:pPr>
      <w:r>
        <w:rPr>
          <w:rFonts w:ascii="Aptos" w:hAnsi="Aptos"/>
          <w:color w:val="000000"/>
          <w:sz w:val="21"/>
        </w:rPr>
        <w:t>1 Taraflar</w:t>
      </w:r>
    </w:p>
    <w:p>
      <w:r>
        <w:t>İş sahibi: [AD / UNVAN, TEBLİGAT ADRESİ]. Yüklenici: [AD / UNVAN, TEBLİGAT ADRESİ]. Temsilcilerin yetkileri: [BİLGİ].</w:t>
      </w:r>
    </w:p>
    <w:p>
      <w:pPr>
        <w:pStyle w:val="Heading2"/>
        <w:spacing w:before="140"/>
      </w:pPr>
      <w:r>
        <w:rPr>
          <w:rFonts w:ascii="Aptos" w:hAnsi="Aptos"/>
          <w:color w:val="000000"/>
          <w:sz w:val="21"/>
        </w:rPr>
        <w:t>2 İşin konusu ve çıktı</w:t>
      </w:r>
    </w:p>
    <w:p>
      <w:r>
        <w:t>Yüklenici, [SOMUT TESLİM EDİLECEK ÇIKTI] hazırlamayı üstlenir. Teknik kapsam, kalite ölçütleri, teslim biçimi ve hariç tutulan işler Ek 1’de açıkça yazılır. Ek 1 boş bırakılmaz.</w:t>
      </w:r>
    </w:p>
    <w:p>
      <w:pPr>
        <w:pStyle w:val="Heading2"/>
        <w:spacing w:before="140"/>
      </w:pPr>
      <w:r>
        <w:rPr>
          <w:rFonts w:ascii="Aptos" w:hAnsi="Aptos"/>
          <w:color w:val="000000"/>
          <w:sz w:val="21"/>
        </w:rPr>
        <w:t>3 Süre ve işbirliği</w:t>
      </w:r>
    </w:p>
    <w:p>
      <w:r>
        <w:t>İşe başlama [TARİH], ara teslim [TARİH], son teslim [TARİH]. İş sahibinin sağlayacağı bilgi, malzeme ve onaylar: [LİSTE]. Gecikmeye yol açan engeller taraflarca yazılı bildirilir.</w:t>
      </w:r>
    </w:p>
    <w:p>
      <w:pPr>
        <w:pStyle w:val="Heading2"/>
        <w:spacing w:before="140"/>
      </w:pPr>
      <w:r>
        <w:rPr>
          <w:rFonts w:ascii="Aptos" w:hAnsi="Aptos"/>
          <w:color w:val="000000"/>
          <w:sz w:val="21"/>
        </w:rPr>
        <w:t>4 Bedel ve ödeme</w:t>
      </w:r>
    </w:p>
    <w:p>
      <w:r>
        <w:t>Toplam bedel [TUTAR] [PARA BİRİMİ], vergilerin dahil / hariç durumu [AÇIKLAMA]. Ödeme aşamaları ve her aşamanın somut koşulu: [AŞAMA, TUTAR, TARİH / KABUL ŞARTI]. Ödeme hesabı: [IBAN / HESAP SAHİBİ].</w:t>
      </w:r>
    </w:p>
    <w:p>
      <w:pPr>
        <w:pStyle w:val="Heading2"/>
        <w:spacing w:before="140"/>
      </w:pPr>
      <w:r>
        <w:rPr>
          <w:rFonts w:ascii="Aptos" w:hAnsi="Aptos"/>
          <w:color w:val="000000"/>
          <w:sz w:val="21"/>
        </w:rPr>
        <w:t>5 Teslim ve inceleme</w:t>
      </w:r>
    </w:p>
    <w:p>
      <w:r>
        <w:t>Çıktı [TESLİM YÖNTEMİ] ile teslim edilir. İş sahibi [SOMUT İNCELEME SÜRESİ] içinde yazılı kabulünü veya belirli eksikleri bildirir. Sessizlik tek başına kayıtsız şartsız kabul olarak düzenlenmemiştir. Eksiklerin giderilme yöntemi ve tekrar teslimi: [AÇIKLAMA].</w:t>
      </w:r>
    </w:p>
    <w:p>
      <w:pPr>
        <w:pStyle w:val="Heading2"/>
        <w:spacing w:before="140"/>
      </w:pPr>
      <w:r>
        <w:rPr>
          <w:rFonts w:ascii="Aptos" w:hAnsi="Aptos"/>
          <w:color w:val="000000"/>
          <w:sz w:val="21"/>
        </w:rPr>
        <w:t>6 Değişiklik ve ek iş</w:t>
      </w:r>
    </w:p>
    <w:p>
      <w:r>
        <w:t>Kapsam, ücret veya takvim değişikliği ancak tarafların yazılı onayıyla geçerli olacak şekilde ayrıca kaydedilir. Onaysız talepler otomatik olarak ek ücret veya süre doğurmaz.</w:t>
      </w:r>
    </w:p>
    <w:p>
      <w:pPr>
        <w:pStyle w:val="Heading2"/>
        <w:spacing w:before="140"/>
      </w:pPr>
      <w:r>
        <w:rPr>
          <w:rFonts w:ascii="Aptos" w:hAnsi="Aptos"/>
          <w:color w:val="000000"/>
          <w:sz w:val="21"/>
        </w:rPr>
        <w:t>7 Fikri haklar ve malzemeler</w:t>
      </w:r>
    </w:p>
    <w:p>
      <w:r>
        <w:t>Önceden mevcut materyallerin sahibi [AÇIKLAMA]. Çıktı üzerindeki kullanım veya devir hakkı, kapsamı, zamanı ve bedelle ilişkisi [SOMUT ANLAŞMA] olarak ayrıca yazılır. Üçüncü kişi hakları ve lisanslar için [AÇIKLAMA].</w:t>
      </w:r>
    </w:p>
    <w:p>
      <w:pPr>
        <w:pStyle w:val="Heading2"/>
        <w:spacing w:before="140"/>
      </w:pPr>
      <w:r>
        <w:rPr>
          <w:rFonts w:ascii="Aptos" w:hAnsi="Aptos"/>
          <w:color w:val="000000"/>
          <w:sz w:val="21"/>
        </w:rPr>
        <w:t>8 Gizlilik ve kişisel veriler</w:t>
      </w:r>
    </w:p>
    <w:p>
      <w:r>
        <w:t>Tarafların gizli bilgileri için [AYRI GİZLİLİK EKİ / SOMUT HÜKÜM] uygulanır. Kişisel veri işlenecekse roller, talimatlar, güvenlik ve saklama ayrıca belirlenir; bu sözleşme tek başına KVKK uyumunu sağlamaz.</w:t>
      </w:r>
    </w:p>
    <w:p>
      <w:pPr>
        <w:pStyle w:val="Heading2"/>
        <w:spacing w:before="140"/>
      </w:pPr>
      <w:r>
        <w:rPr>
          <w:rFonts w:ascii="Aptos" w:hAnsi="Aptos"/>
          <w:color w:val="000000"/>
          <w:sz w:val="21"/>
        </w:rPr>
        <w:t>9 Sona erme ve uyuşmazlık</w:t>
      </w:r>
    </w:p>
    <w:p>
      <w:r>
        <w:t>Sona erme koşulları, tamamlanmış işin bedeli, teslim edilecek materyaller ve bildirim yöntemi [SOMUT OLARAK YAZIN]. Kanundan doğan haklar saklıdır. Uyuşmazlıkta uygulanacak hukuk ve yetkili merci emredici kurallara uygun biçimde ayrıca değerlendirilir.</w:t>
      </w:r>
    </w:p>
    <w:p>
      <w:pPr>
        <w:pStyle w:val="Heading2"/>
        <w:spacing w:before="140"/>
      </w:pPr>
      <w:r>
        <w:rPr>
          <w:rFonts w:ascii="Aptos" w:hAnsi="Aptos"/>
          <w:color w:val="000000"/>
          <w:sz w:val="21"/>
        </w:rPr>
        <w:t>10 Ekler ve imza</w:t>
      </w:r>
    </w:p>
    <w:p>
      <w:r>
        <w:t>Ek 1: İş tanımı ve kabul ölçütleri. Ek 2: Takvim ve ödeme planı. Ekler sözleşmenin parçasıdır.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>
              <w:rPr>
                <w:b/>
                <w:sz w:val="17"/>
              </w:rPr>
              <w:t>İş sahibi</w:t>
            </w:r>
          </w:p>
        </w:tc>
        <w:tc>
          <w:tcPr>
            <w:tcW w:type="dxa" w:w="4759"/>
          </w:tcPr>
          <w:p>
            <w:r>
              <w:rPr>
                <w:b/>
                <w:sz w:val="17"/>
              </w:rPr>
              <w:t>Yüklenici</w:t>
            </w:r>
          </w:p>
        </w:tc>
      </w:tr>
      <w:tr>
        <w:tc>
          <w:tcPr>
            <w:tcW w:type="dxa" w:w="4759"/>
          </w:tcPr>
          <w:p>
            <w:r>
              <w:rPr>
                <w:sz w:val="17"/>
              </w:rPr>
              <w:t>[AD / TARİH / İMZA]</w:t>
            </w:r>
          </w:p>
        </w:tc>
        <w:tc>
          <w:tcPr>
            <w:tcW w:type="dxa" w:w="4759"/>
          </w:tcPr>
          <w:p>
            <w:r>
              <w:rPr>
                <w:sz w:val="17"/>
              </w:rPr>
              <w:t>[AD / TARİH / İMZA]</w:t>
            </w:r>
          </w:p>
        </w:tc>
      </w:tr>
    </w:tbl>
    <w:p>
      <w:pPr>
        <w:spacing w:before="200"/>
      </w:pPr>
      <w:r>
        <w:t>Kullanım notu: Bu genel örnek bağımsız bir yüklenicinin belirli çıktıyı teslim ettiği iş için hazırlanmıştır. Fiilen bağımlı çalışma varsa iş hukuku kuralları ayrıca değerlendirilir; tüketici işlemi için doğrudan kullanmayın. İş tanımı, kabul ölçütü, fikrî hak, vergi ve kişisel veri hükümlerini somut olarak doldurun.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Belirli Çıktıya Yönelik Hizmet Sözleşmesi Taslağı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