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İKİNCİ EL ARAÇTA AYIP BİLDİRİMİ</w:t>
      </w:r>
    </w:p>
    <w:p>
      <w:r>
        <w:t>Düzenleme tarihi: [GG.AA.YYYY]     Yer: [İl/ilçe]</w:t>
      </w:r>
    </w:p>
    <w:p>
      <w:r>
        <w:t>[Satış tarihi], [satıcı ve araç plaka/şasi son dört hane] satışında aracı teslim aldım. [Tespit tarihi] tarihinde [somut arıza/uyuşmazlık] ortaya çıktı.</w:t>
      </w:r>
    </w:p>
    <w:p>
      <w:r>
        <w:t>Satış ilanı, sözleşme, ekspertiz ve servis raporlarındaki ilgili kayıtlar [ek no] ile gösterilmiştir. Ayıbın teslimde mevcut olup olmadığı ve satıcının açıklamaları [somut olgu].</w:t>
      </w:r>
    </w:p>
    <w:p>
      <w:r>
        <w:t>Uygulanabilir satış hukuku ve tarafların sıfatı değerlendirilerek [seçilen talep] hakkında gerekçeli yazılı yanıt istiyorum. Onarım veya söküm öncesi delil ve güvenlik durumunu kayda alırım.</w:t>
      </w:r>
    </w:p>
    <w:p>
      <w:r>
        <w:t>Bu bildirim, her ikinci el satışta tüketici mevzuatının otomatik uygulanacağı veya talebin kendiliğinden kabul edildiği anlamına gelmez.</w:t>
      </w:r>
    </w:p>
    <w:p>
      <w:r>
        <w:t>Alıcı [ad, tarih, imza] | Ekler: ilan, sözleşme, rapor, fotoğraf</w:t>
      </w:r>
    </w:p>
    <w:p>
      <w:r>
        <w:rPr>
          <w:b/>
        </w:rPr>
        <w:t>KULLANMADAN ÖNCE</w:t>
      </w:r>
    </w:p>
    <w:p>
      <w:r>
        <w:t>Satıcının tacir/özel kişi olması, bildirilen ayıp ve teslim koşulları farklı hukuki sonuç doğurur; süreleri somut işleme göre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