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EDİTÖRLÜK HİZMET SÖZLEŞMESİ</w:t>
      </w:r>
    </w:p>
    <w:p>
      <w:r>
        <w:t>Düzenleme tarihi: [GG.AA.YYYY]     Yer: [İl/ilçe]</w:t>
      </w:r>
    </w:p>
    <w:p>
      <w:r>
        <w:t>1. Taraflar [yazar/yayınevi ve editör]; eser/dosya [ad, sürüm, kelime sayısı], iş türü [dil düzeltisi/yapısal editörlük/son okuma] ve kapsam dışı işler [liste].</w:t>
      </w:r>
    </w:p>
    <w:p>
      <w:r>
        <w:t>2. Teslim aşamaları [ilk değerlendirme tarihi, işlenmiş dosya, değişiklik izleme yöntemi, revizyon turu, son teslim]; yazarın onay süresi ve ek işin ücret yöntemi [açık hesap].</w:t>
      </w:r>
    </w:p>
    <w:p>
      <w:r>
        <w:t>3. Bedel [tutar/vergi], ödeme planı [tarihler], gecikme ve iptal halinde tamamlanmış işin belgelendirilmesi [yöntem]. Gizli taslak yalnız iş için kullanılır; saklama/silme süresi [süre].</w:t>
      </w:r>
    </w:p>
    <w:p>
      <w:r>
        <w:t>4. Eser sahipliği ve telif hakları yazarda/hak sahibinde kalır; editöre yalnız hizmeti yerine getirmeye yetecek kullanım izni verilir. Editörün yeni özgün katkılarının hak durumu ve yayımlama kredisi [ayrı açık anlaşma].</w:t>
      </w:r>
    </w:p>
    <w:p>
      <w:r>
        <w:t>5. Telif devri, yayın garantisi, intihalden tam sorumsuzluk veya üçüncü kişi hakkı izni bu genel metinden çıkarılamaz; somut proje için ayrıca düzenlenir.</w:t>
      </w:r>
    </w:p>
    <w:p>
      <w:r>
        <w:t>Müşteri [imza] | Editör [imza]</w:t>
      </w:r>
    </w:p>
    <w:p>
      <w:r>
        <w:rPr>
          <w:b/>
        </w:rPr>
        <w:t>KULLANMADAN ÖNCE</w:t>
      </w:r>
    </w:p>
    <w:p>
      <w:r>
        <w:t>Kapsam, kelime sayısı, revizyon turu, gizlilik ve olası özgün katkı haklarını doldurun.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