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ÇEVİRİ HİZMET SÖZLEŞMESİ</w:t>
      </w:r>
    </w:p>
    <w:p>
      <w:r>
        <w:t>Düzenleme tarihi: [GG.AA.YYYY]     Yer: [İl/ilçe]</w:t>
      </w:r>
    </w:p>
    <w:p>
      <w:r>
        <w:t>1. Taraflar [müşteri ve çevirmen/işletme adları]; kaynak metin [dosya adı/sayfa veya kelime sayısı], kaynak ve hedef dil [diller], kullanım amacı [resmî başvuru/yayın/iç kullanım].</w:t>
      </w:r>
    </w:p>
    <w:p>
      <w:r>
        <w:t>2. Teslim [tarih/saat, dosya biçimi ve güvenli kanal], kapsam [çeviri, redaksiyon, terminoloji listesi]; revizyon [nesnel hata düzeltme süresi ve kapsamı]. Yeminli tercüme, noter veya apostil ayrıca yazılmadıkça hizmet kapsamında değildir.</w:t>
      </w:r>
    </w:p>
    <w:p>
      <w:r>
        <w:t>3. Bedel [tutar/vergi durumu], ödeme aşamaları [tarih]; sonradan eklenen metin, acil teslim ve format işinin ücret yöntemi [hesap]. Gecikme ve iptal için gerçekleşen işin belgeli hesabı uygulanır.</w:t>
      </w:r>
    </w:p>
    <w:p>
      <w:r>
        <w:t>4. Kaynak metindeki kişisel veriler ve ticari sırlar yalnız iş amacıyla, gerekli erişimle işlenir; dosya saklama/silme ve alt yüklenici kullanımı [ayrı açık düzenleme]. Müşteri üçüncü kişi telif haklarını ihlal eden yetki veremez.</w:t>
      </w:r>
    </w:p>
    <w:p>
      <w:r>
        <w:t>5. Tercümenin resmî makamca kabulü ilgili makamın biçim ve belge kurallarına bağlıdır; çevirmen tarafından mutlak kabul garantisi verilmez.</w:t>
      </w:r>
    </w:p>
    <w:p>
      <w:r>
        <w:t>Müşteri [imza] | Hizmet veren [imza]</w:t>
      </w:r>
    </w:p>
    <w:p>
      <w:r>
        <w:rPr>
          <w:b/>
        </w:rPr>
        <w:t>KULLANMADAN ÖNCE</w:t>
      </w:r>
    </w:p>
    <w:p>
      <w:r>
        <w:t>Dil çifti, uzmanlık alanı, resmî onay gereği, revizyon ve gizlilik koşullarını somut doldurun.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