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WEB SİTESİ YAPIM SÖZLEŞMESİ</w:t>
      </w:r>
    </w:p>
    <w:p>
      <w:r>
        <w:t>Düzenleme tarihi: [GG.AA.YYYY]     Yer: [İl/ilçe]</w:t>
      </w:r>
    </w:p>
    <w:p>
      <w:r>
        <w:t>1. Taraflar: müşteri [unvan/adres] ve yüklenici [unvan/adres]. İşin kapsamı ve teknik ek: [sayfa türleri, dil, CMS, mobil uyum, erişilebilirlik, entegrasyonlar]. Kapsam dışı işler [liste].</w:t>
      </w:r>
    </w:p>
    <w:p>
      <w:r>
        <w:t>2. Teslimler ve kabul: [tasarım taslağı tarihi], [test ortamı], [canlı teslim tarihi]. Kabul ölçütleri [hız, içerik, formlar, tarayıcılar ve hata sınıfları]. Revizyon hakkı [sayı/süre] ve ek iş onayı [yöntem].</w:t>
      </w:r>
    </w:p>
    <w:p>
      <w:r>
        <w:t>3. Bedel [tutar, KDV durumu], ödeme aşamaları [avans/ara/teslim]. Alan adı, barındırma, lisans, bakım ve güvenlik sorumluları [taraf ve süre]. Erişim hesapları ve kaynak dosyalar teslim listesinde gösterilir.</w:t>
      </w:r>
    </w:p>
    <w:p>
      <w:r>
        <w:t>4. Özgün tasarım, kod ve içerik üzerindeki devredilen/lisanslanan mali haklar ayrı ayrı belirtilir: [işleme, çoğaltma, yayma, umuma iletim; süre/coğrafya/mecra]. Üçüncü taraf tema/eklenti lisansları bu devir kapsamında sayılmaz.</w:t>
      </w:r>
    </w:p>
    <w:p>
      <w:r>
        <w:t>5. Kişisel veri işlenecekse tarafların veri sorumlusu/veri işleyen rolleri, güvenlik tedbirleri ve silme/iade koşulları ayrı ekle düzenlenir. Fesihte tamamlanmış iş, ödeme ve erişim devri [somut usul].</w:t>
      </w:r>
    </w:p>
    <w:p>
      <w:r>
        <w:t>Müşteri [ad, imza] | Yüklenici [ad, imza]</w:t>
      </w:r>
    </w:p>
    <w:p>
      <w:r>
        <w:rPr>
          <w:b/>
        </w:rPr>
        <w:t>KULLANMADAN ÖNCE</w:t>
      </w:r>
    </w:p>
    <w:p>
      <w:r>
        <w:t>Teknik ek ve lisans listesi olmadan imzalamayın. Eser niteliği ve mali hakların yazılı tek tek belirlenmesi ayrıca incelenir.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