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GRAFİK TASARIM HİZMET SÖZLEŞMESİ</w:t>
      </w:r>
    </w:p>
    <w:p>
      <w:r>
        <w:t>Düzenleme tarihi: [GG.AA.YYYY]     Düzenleme yeri: [İl/ilçe]</w:t>
      </w:r>
    </w:p>
    <w:p>
      <w:r>
        <w:t>1. Taraflar: müşteri [unvan/adres]; tasarımcı [unvan/adres]. İş: [teslim edilecek tasarımlar, adet, format, ölçü, teknik şartname]. Kapsam dışı işler [liste].</w:t>
      </w:r>
    </w:p>
    <w:p>
      <w:r>
        <w:t>2. Takvim: ilk taslak [tarih], müşteri geri bildirimi [süre], son teslim [tarih]. Fiyata [sayı] revizyon dahildir; ek revizyon [ücret/onay yöntemi] ile yapılır. Kabul ölçütü [yazılı kriter].</w:t>
      </w:r>
    </w:p>
    <w:p>
      <w:r>
        <w:t>3. Bedel [tutar + KDV durumu], ödeme [avans/ara ödeme/son ödeme]. Tarafların sağladığı logo, görsel, yazı tipi ve diğer malzemelerin kullanım izni ilgili tarafın sorumluluğundadır.</w:t>
      </w:r>
    </w:p>
    <w:p>
      <w:r>
        <w:t>4. Telif ve kullanım: eser niteliği taşıyan teslimler için devredilecek veya lisanslanacak mali haklar (işleme, çoğaltma, yayma, temsil, umuma iletim) ve kullanım kapsamı ayrı ayrı yazılı olarak belirlenir: [hak, süre, coğrafya, mecra, münhasırlık]. Manevi haklar saklıdır.</w:t>
      </w:r>
    </w:p>
    <w:p>
      <w:r>
        <w:t>5. Gizlilik, kişisel veri paylaşımı, kaynak dosyaların teslimi, portfolyoda gösterim izni ve fesihte tamamlanan işlerin bedeli taraflarca ayrıca doldurulur.</w:t>
      </w:r>
    </w:p>
    <w:p>
      <w:r>
        <w:t>İşbu metin [sayfa sayısı] sayfa ve [nüsha sayısı] nüsha düzenlenerek taraflarca okunup imzalanmıştır.</w:t>
      </w:r>
    </w:p>
    <w:p>
      <w:r>
        <w:t>Müşteri: [Ad/unvan, imza]</w:t>
      </w:r>
    </w:p>
    <w:p>
      <w:r>
        <w:t>Tasarımcı: [Ad/unvan, imza]</w:t>
      </w:r>
    </w:p>
    <w:p>
      <w:pPr>
        <w:pStyle w:val="Heading1"/>
      </w:pPr>
      <w:r>
        <w:t>KULLANMADAN ÖNCE KONTROL</w:t>
      </w:r>
    </w:p>
    <w:p>
      <w:r>
        <w:t>5846 sayılı Fikir ve Sanat Eserleri Kanunu m.52; 6098 sayılı Türk Borçlar Kanunu. Mali haklar genel/geçiştirici tek cümleyle bırakılmamalıdır.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