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VERGİ MAHSUP TALEBİ İNCELEMESİ</w:t>
      </w:r>
    </w:p>
    <w:p>
      <w:r>
        <w:t>Düzenleme tarihi: [GG.AA.YYYY]     Yer: [İl/ilçe]</w:t>
      </w:r>
    </w:p>
    <w:p>
      <w:r>
        <w:t>Vergi dairesi [ad]; mükellef [ad/vergi no]; iade/alacak dayanağı [vergi türü, dönem, belge]; mahsup istenen borç [tür, dönem, tutar].</w:t>
      </w:r>
    </w:p>
    <w:p>
      <w:r>
        <w:t>İlgili mevzuata göre mahsup imkânının ve gereken resmî dilekçe, elektronik başvuru, rapor ve eklerin bildirilmesini; uygun görülürse talebimin işleme alınmasını istiyorum.</w:t>
      </w:r>
    </w:p>
    <w:p>
      <w:r>
        <w:t>Her alacak her borca otomatik mahsup edilemez. Bu genel yazı, belirli iade türü için zorunlu elektronik iade talep dilekçesi ve belgelerin yerine geçmez; mahsup tarihi/ferileri idarece belirlenir.</w:t>
      </w:r>
    </w:p>
    <w:p>
      <w:r>
        <w:t>Mükellef/yetkili [ad, tarih, imza]</w:t>
      </w:r>
    </w:p>
    <w:p>
      <w:r>
        <w:rPr>
          <w:b/>
        </w:rPr>
        <w:t>KULLANMADAN ÖNCE</w:t>
      </w:r>
    </w:p>
    <w:p>
      <w:r>
        <w:t>İade türü ve güncel GİB usulünü meslek mensubuyla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