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 MALİKLERİ KURULU TOPLANTI ÇAĞRISI</w:t>
      </w:r>
    </w:p>
    <w:p>
      <w:r>
        <w:t>Düzenleme tarihi: [GG.AA.YYYY]     Yer: [İl/ilçe]</w:t>
      </w:r>
    </w:p>
    <w:p>
      <w:r>
        <w:t>Yapı [ad/adres], çağrıyı yapan [yönetici/kat malikleri ve sıfat], toplantı tarihi-saati [tarih/saat], yeri [açık adres/erişim], gündem [numaralı maddeler].</w:t>
      </w:r>
    </w:p>
    <w:p>
      <w:r>
        <w:t>İlk toplantıda yeter sayı sağlanmazsa ikinci toplantı [tarih/saat/yer]; aradaki süre ve toplantı usulü Kat Mülkiyeti Kanunu ile yönetim planına göre ayrıca doğrulanır.</w:t>
      </w:r>
    </w:p>
    <w:p>
      <w:r>
        <w:t>Çağrının her kat malikine iletilme yöntemi [kanun ve planın gerektirdiği yöntem], tebliğ tarihi/kanıtı [liste]. Bu örnek, olağan/olağanüstü toplantı şartlarını kendiliğinden sağlamaz.</w:t>
      </w:r>
    </w:p>
    <w:p>
      <w:r>
        <w:t>Vekâleten katılım ve oy hakkı için kimlik, vekâlet ve bağımsız bölüm bilgilerinin güncelliği ayrıca kontrol edilir.</w:t>
      </w:r>
    </w:p>
    <w:p>
      <w:r>
        <w:t>Çağrıyı yapan [ad, sıfat, tarih, imza]</w:t>
      </w:r>
    </w:p>
    <w:p>
      <w:r>
        <w:rPr>
          <w:b/>
        </w:rPr>
        <w:t>KULLANMADAN ÖNCE</w:t>
      </w:r>
    </w:p>
    <w:p>
      <w:r>
        <w:t>Olağanüstü toplantıda çağrı yetkisi, süre, gerekçe ve gündemi yönetim planıyla birlikte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