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APARTMAN / SİTE YÖNETİMİNE</w:t>
      </w:r>
    </w:p>
    <w:p>
      <w:r>
        <w:t>Tarih: [GG.AA.YYYY]     Başvuran: [Ad Soyad]     İletişim: [E-posta/adres]</w:t>
      </w:r>
    </w:p>
    <w:p>
      <w:r>
        <w:t>Konu: Apartman aidat borcu itirazı</w:t>
      </w:r>
    </w:p>
    <w:p>
      <w:r>
        <w:t>[Bağımsız bölüm no] için [dönem] aidat borcu olarak bildirilen [tutar] TL tutara, aşağıda açıklanan hesap farkı nedeniyle itiraz ediyorum.</w:t>
      </w:r>
    </w:p>
    <w:p>
      <w:r>
        <w:t>İtirazın dayanağı: [ödenmiş taksit ve dekont tarihi / dönem yanlışlığı / pay oranı farkı / işletme projesi veya karar uyuşmazlığı]. İlgili yönetim planı, kat malikleri kurulu kararı, işletme projesi ve hesap hareketleriyle tutarın kalem kalem karşılaştırılmasını istiyorum.</w:t>
      </w:r>
    </w:p>
    <w:p>
      <w:r>
        <w:t>İnceleme sonunda borç-alacak dökümünün, uygulanan gecikme hesabının ve dayanak kararın yazılı olarak tarafıma iletilmesini; hata varsa kaydın düzeltilmesini talep ederim.</w:t>
      </w:r>
    </w:p>
    <w:p>
      <w:r>
        <w:t>Ekler: Aidat bildirimi, ödeme dekontları, yönetim planı/karar ve işletme projesi</w:t>
      </w:r>
    </w:p>
    <w:p>
      <w:r>
        <w:t>Ad Soyad: [Ad Soyad]     İmza: [İmza]</w:t>
      </w:r>
    </w:p>
    <w:p>
      <w:pPr>
        <w:pStyle w:val="Heading1"/>
      </w:pPr>
      <w:r>
        <w:t>KULLANMADAN ÖNCE KONTROL</w:t>
      </w:r>
    </w:p>
    <w:p>
      <w:r>
        <w:t>634 sayılı Kat Mülkiyeti Kanunu m.20 ve 33; dava aşamasında arabuluculuk şartı ayrıca kontrol edilir. İtiraz tek başına ödeme veya icra süresini durdurmaz.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