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KISMİ SÜRELİ İŞ SÖZLEŞMESİ</w:t>
      </w:r>
    </w:p>
    <w:p>
      <w:r>
        <w:t>Düzenleme tarihi: [GG.AA.YYYY]     Yer: [İl/ilçe]</w:t>
      </w:r>
    </w:p>
    <w:p>
      <w:r>
        <w:t>1. Taraflar: işveren [unvan/adres], işçi [ad/adres]. İşin tanımı ve yeri: [görev, işyeri]. Başlangıç tarihi [tarih]. Sözleşme [belirsiz/belirli; belirli ise objektif neden ve bitiş].</w:t>
      </w:r>
    </w:p>
    <w:p>
      <w:r>
        <w:t>2. Çalışma düzeni: [haftanın günleri], [başlangıç ve bitiş saatleri], haftalık toplam [saat]. Çizelge değişikliği taraflara [yazılı yöntem] ile bildirilir; kanuni çalışma ve dinlenme hükümleri saklıdır.</w:t>
      </w:r>
    </w:p>
    <w:p>
      <w:r>
        <w:t>3. Brüt ücret [saatlik/aylık tutar] TL; ödeme günü [gün], ödeme hesabı [IBAN]. Bölünebilir parasal menfaatler ve izin hakları uygulanabilir kurallar ile emsal işçi ilkesi dikkate alınarak hesaplanır.</w:t>
      </w:r>
    </w:p>
    <w:p>
      <w:r>
        <w:t>4. Fazla çalışma, sosyal güvenlik bildirimi, iş sağlığı ve güvenliği, gizlilik ve iş ekipmanı yükümlülükleri yürürlükteki kurallara göre uygulanır. Sırf kısmi süreli çalışma nedeniyle haksız farklı işlem yapılamaz.</w:t>
      </w:r>
    </w:p>
    <w:p>
      <w:r>
        <w:t>İşveren [ad/unvan, imza] | İşçi [ad, imza]</w:t>
      </w:r>
    </w:p>
    <w:p>
      <w:r>
        <w:rPr>
          <w:b/>
        </w:rPr>
        <w:t>KULLANMADAN ÖNCE</w:t>
      </w:r>
    </w:p>
    <w:p>
      <w:r>
        <w:t>4857 sayılı İş Kanunu m.13. Haftalık süre ve emsal tam süreli işçi karşılaştırmasını somut belirleyin; bu sözleşme SGK bildirimini yerine geçirmez.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